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694" w14:textId="50ED5CC1" w:rsidR="0065748A" w:rsidRPr="0065748A" w:rsidRDefault="0065748A" w:rsidP="0065748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65748A">
        <w:rPr>
          <w:rFonts w:asciiTheme="majorHAnsi" w:hAnsiTheme="majorHAnsi" w:cstheme="majorHAnsi"/>
          <w:b/>
          <w:bCs/>
          <w:sz w:val="32"/>
          <w:szCs w:val="32"/>
          <w:u w:val="single"/>
        </w:rPr>
        <w:t>Breast MRI</w:t>
      </w:r>
      <w:r w:rsidRPr="0065748A"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  <w:t>New American Cancer Society (ACS) Recommendations</w:t>
      </w:r>
    </w:p>
    <w:p w14:paraId="08450F0F" w14:textId="77777777" w:rsidR="0065748A" w:rsidRPr="0065748A" w:rsidRDefault="0065748A" w:rsidP="0065748A">
      <w:pPr>
        <w:rPr>
          <w:rFonts w:asciiTheme="majorHAnsi" w:hAnsiTheme="majorHAnsi" w:cstheme="majorHAnsi"/>
        </w:rPr>
      </w:pPr>
    </w:p>
    <w:p w14:paraId="5339B610" w14:textId="5C5F5930" w:rsidR="0065748A" w:rsidRPr="0065748A" w:rsidRDefault="0065748A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Women who are at </w:t>
      </w:r>
      <w:r w:rsidRPr="0065748A">
        <w:rPr>
          <w:rFonts w:asciiTheme="majorHAnsi" w:eastAsia="Times New Roman" w:hAnsiTheme="majorHAnsi" w:cstheme="majorHAnsi"/>
          <w:b/>
          <w:bCs/>
          <w:color w:val="1E1E23"/>
        </w:rPr>
        <w:t>high risk</w:t>
      </w:r>
      <w:r w:rsidRPr="0065748A">
        <w:rPr>
          <w:rFonts w:asciiTheme="majorHAnsi" w:eastAsia="Times New Roman" w:hAnsiTheme="majorHAnsi" w:cstheme="majorHAnsi"/>
          <w:color w:val="1E1E23"/>
        </w:rPr>
        <w:t> for breast cancer based on certain factors should get a </w:t>
      </w:r>
      <w:hyperlink r:id="rId5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breast MRI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 xml:space="preserve"> and a mammogram every year, typically starting at age 30. This includes women who:</w:t>
      </w:r>
    </w:p>
    <w:p w14:paraId="680A6E35" w14:textId="77777777" w:rsidR="0065748A" w:rsidRPr="0065748A" w:rsidRDefault="0065748A" w:rsidP="0065748A">
      <w:pPr>
        <w:numPr>
          <w:ilvl w:val="0"/>
          <w:numId w:val="1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Have a lifetime risk of breast cancer of about 20% to 25% or greater, according to risk assessment tools that are based mainly on family history (see below)</w:t>
      </w:r>
    </w:p>
    <w:p w14:paraId="7332E4C2" w14:textId="77777777" w:rsidR="0065748A" w:rsidRPr="0065748A" w:rsidRDefault="0065748A" w:rsidP="0065748A">
      <w:pPr>
        <w:numPr>
          <w:ilvl w:val="0"/>
          <w:numId w:val="1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Have a known </w:t>
      </w:r>
      <w:hyperlink r:id="rId6" w:history="1">
        <w:r w:rsidRPr="0065748A">
          <w:rPr>
            <w:rFonts w:asciiTheme="majorHAnsi" w:eastAsia="Times New Roman" w:hAnsiTheme="majorHAnsi" w:cstheme="majorHAnsi"/>
            <w:i/>
            <w:iCs/>
            <w:color w:val="0047BB"/>
            <w:u w:val="single"/>
          </w:rPr>
          <w:t>BRCA1</w:t>
        </w:r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 xml:space="preserve"> or </w:t>
        </w:r>
        <w:r w:rsidRPr="0065748A">
          <w:rPr>
            <w:rFonts w:asciiTheme="majorHAnsi" w:eastAsia="Times New Roman" w:hAnsiTheme="majorHAnsi" w:cstheme="majorHAnsi"/>
            <w:i/>
            <w:iCs/>
            <w:color w:val="0047BB"/>
            <w:u w:val="single"/>
          </w:rPr>
          <w:t>BRCA2</w:t>
        </w:r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 xml:space="preserve"> gene mutation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> (based on having had </w:t>
      </w:r>
      <w:hyperlink r:id="rId7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genetic testing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>)</w:t>
      </w:r>
    </w:p>
    <w:p w14:paraId="027EC9D6" w14:textId="77777777" w:rsidR="0065748A" w:rsidRPr="0065748A" w:rsidRDefault="0065748A" w:rsidP="0065748A">
      <w:pPr>
        <w:numPr>
          <w:ilvl w:val="0"/>
          <w:numId w:val="1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Have a first-degree relative (parent, brother, sister, or child) with a </w:t>
      </w:r>
      <w:r w:rsidRPr="0065748A">
        <w:rPr>
          <w:rFonts w:asciiTheme="majorHAnsi" w:eastAsia="Times New Roman" w:hAnsiTheme="majorHAnsi" w:cstheme="majorHAnsi"/>
          <w:i/>
          <w:iCs/>
          <w:color w:val="1E1E23"/>
        </w:rPr>
        <w:t>BRCA1</w:t>
      </w:r>
      <w:r w:rsidRPr="0065748A">
        <w:rPr>
          <w:rFonts w:asciiTheme="majorHAnsi" w:eastAsia="Times New Roman" w:hAnsiTheme="majorHAnsi" w:cstheme="majorHAnsi"/>
          <w:color w:val="1E1E23"/>
        </w:rPr>
        <w:t> or </w:t>
      </w:r>
      <w:r w:rsidRPr="0065748A">
        <w:rPr>
          <w:rFonts w:asciiTheme="majorHAnsi" w:eastAsia="Times New Roman" w:hAnsiTheme="majorHAnsi" w:cstheme="majorHAnsi"/>
          <w:i/>
          <w:iCs/>
          <w:color w:val="1E1E23"/>
        </w:rPr>
        <w:t>BRCA2</w:t>
      </w:r>
      <w:r w:rsidRPr="0065748A">
        <w:rPr>
          <w:rFonts w:asciiTheme="majorHAnsi" w:eastAsia="Times New Roman" w:hAnsiTheme="majorHAnsi" w:cstheme="majorHAnsi"/>
          <w:color w:val="1E1E23"/>
        </w:rPr>
        <w:t> gene mutation, and have not had genetic testing themselves</w:t>
      </w:r>
    </w:p>
    <w:p w14:paraId="5511C4D2" w14:textId="77777777" w:rsidR="0065748A" w:rsidRPr="0065748A" w:rsidRDefault="0065748A" w:rsidP="0065748A">
      <w:pPr>
        <w:numPr>
          <w:ilvl w:val="0"/>
          <w:numId w:val="1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Had radiation therapy to the chest when they were between the ages of 10 and 30 years</w:t>
      </w:r>
    </w:p>
    <w:p w14:paraId="25B8A155" w14:textId="77777777" w:rsidR="0065748A" w:rsidRPr="0065748A" w:rsidRDefault="0065748A" w:rsidP="0065748A">
      <w:pPr>
        <w:numPr>
          <w:ilvl w:val="0"/>
          <w:numId w:val="1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Have Li-Fraumeni syndrome, Cowden syndrome, or Bannayan-Riley-Ruvalcaba syndrome, or have first-degree relatives with one of these syndromes</w:t>
      </w:r>
    </w:p>
    <w:p w14:paraId="3711F9B8" w14:textId="77777777" w:rsidR="0065748A" w:rsidRPr="0065748A" w:rsidRDefault="0065748A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The American Cancer Society recommends against MRI screening for women whose lifetime risk of breast cancer is less than 15%.</w:t>
      </w:r>
    </w:p>
    <w:p w14:paraId="47A5D864" w14:textId="77777777" w:rsidR="0065748A" w:rsidRPr="0065748A" w:rsidRDefault="0065748A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There’s not enough evidence to make a recommendation for or against yearly MRI screening for women who have a higher lifetime risk based on certain factors, such as:</w:t>
      </w:r>
    </w:p>
    <w:p w14:paraId="406B5848" w14:textId="77777777" w:rsidR="0065748A" w:rsidRPr="0065748A" w:rsidRDefault="0065748A" w:rsidP="0065748A">
      <w:pPr>
        <w:numPr>
          <w:ilvl w:val="0"/>
          <w:numId w:val="2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Having a personal history of breast cancer, </w:t>
      </w:r>
      <w:hyperlink r:id="rId8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ductal carcinoma in situ (DCIS)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>, </w:t>
      </w:r>
      <w:hyperlink r:id="rId9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lobular carcinoma in situ (LCIS)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>, </w:t>
      </w:r>
      <w:hyperlink r:id="rId10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atypical ductal hyperplasia (ADH), or atypical lobular hyperplasia (ALH)</w:t>
        </w:r>
      </w:hyperlink>
    </w:p>
    <w:p w14:paraId="7126A7D5" w14:textId="77777777" w:rsidR="0065748A" w:rsidRPr="0065748A" w:rsidRDefault="0065748A" w:rsidP="0065748A">
      <w:pPr>
        <w:numPr>
          <w:ilvl w:val="0"/>
          <w:numId w:val="2"/>
        </w:numPr>
        <w:spacing w:before="100" w:beforeAutospacing="1" w:after="150" w:line="32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Having “extremely” or “heterogeneously” </w:t>
      </w:r>
      <w:hyperlink r:id="rId11" w:history="1">
        <w:r w:rsidRPr="0065748A">
          <w:rPr>
            <w:rFonts w:asciiTheme="majorHAnsi" w:eastAsia="Times New Roman" w:hAnsiTheme="majorHAnsi" w:cstheme="majorHAnsi"/>
            <w:color w:val="0047BB"/>
            <w:u w:val="single"/>
          </w:rPr>
          <w:t>dense breasts</w:t>
        </w:r>
      </w:hyperlink>
      <w:r w:rsidRPr="0065748A">
        <w:rPr>
          <w:rFonts w:asciiTheme="majorHAnsi" w:eastAsia="Times New Roman" w:hAnsiTheme="majorHAnsi" w:cstheme="majorHAnsi"/>
          <w:color w:val="1E1E23"/>
        </w:rPr>
        <w:t> as seen on a mammogram</w:t>
      </w:r>
    </w:p>
    <w:p w14:paraId="730182DF" w14:textId="77777777" w:rsidR="0065748A" w:rsidRPr="0065748A" w:rsidRDefault="0065748A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>If MRI is used, it should be in addition to, not instead of, a screening mammogram. This is because although an MRI is more likely to find cancer than a mammogram, it may still miss some cancers that a mammogram would find.</w:t>
      </w:r>
    </w:p>
    <w:p w14:paraId="1C06A5D1" w14:textId="484DF222" w:rsidR="0065748A" w:rsidRDefault="0065748A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 w:rsidRPr="0065748A">
        <w:rPr>
          <w:rFonts w:asciiTheme="majorHAnsi" w:eastAsia="Times New Roman" w:hAnsiTheme="majorHAnsi" w:cstheme="majorHAnsi"/>
          <w:color w:val="1E1E23"/>
        </w:rPr>
        <w:t xml:space="preserve">Most women at high risk should begin screening with MRI and mammograms when they are 30 and continue for as long as they are in good health. But this is a decision that should be made with a woman's health care providers, </w:t>
      </w:r>
      <w:proofErr w:type="gramStart"/>
      <w:r w:rsidRPr="0065748A">
        <w:rPr>
          <w:rFonts w:asciiTheme="majorHAnsi" w:eastAsia="Times New Roman" w:hAnsiTheme="majorHAnsi" w:cstheme="majorHAnsi"/>
          <w:color w:val="1E1E23"/>
        </w:rPr>
        <w:t>taking into account</w:t>
      </w:r>
      <w:proofErr w:type="gramEnd"/>
      <w:r w:rsidRPr="0065748A">
        <w:rPr>
          <w:rFonts w:asciiTheme="majorHAnsi" w:eastAsia="Times New Roman" w:hAnsiTheme="majorHAnsi" w:cstheme="majorHAnsi"/>
          <w:color w:val="1E1E23"/>
        </w:rPr>
        <w:t xml:space="preserve"> her personal circumstances and preferences.</w:t>
      </w:r>
    </w:p>
    <w:p w14:paraId="353108A8" w14:textId="0EB617DF" w:rsidR="008850B4" w:rsidRDefault="008850B4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>
        <w:rPr>
          <w:rFonts w:asciiTheme="majorHAnsi" w:eastAsia="Times New Roman" w:hAnsiTheme="majorHAnsi" w:cstheme="majorHAnsi"/>
          <w:color w:val="1E1E23"/>
        </w:rPr>
        <w:lastRenderedPageBreak/>
        <w:t xml:space="preserve">Learn more at </w:t>
      </w:r>
      <w:hyperlink r:id="rId12" w:history="1">
        <w:r w:rsidRPr="00445059">
          <w:rPr>
            <w:rStyle w:val="Hyperlink"/>
            <w:rFonts w:asciiTheme="majorHAnsi" w:eastAsia="Times New Roman" w:hAnsiTheme="majorHAnsi" w:cstheme="majorHAnsi"/>
          </w:rPr>
          <w:t>https://www.cancer.org/cancer/breast-cancer/screening-tests-and-early-detection/american-cancer-society-recommendations-for-the-early-detection-of-breast-cancer.html</w:t>
        </w:r>
      </w:hyperlink>
      <w:r>
        <w:rPr>
          <w:rFonts w:asciiTheme="majorHAnsi" w:eastAsia="Times New Roman" w:hAnsiTheme="majorHAnsi" w:cstheme="majorHAnsi"/>
          <w:color w:val="1E1E23"/>
        </w:rPr>
        <w:t xml:space="preserve"> </w:t>
      </w:r>
    </w:p>
    <w:p w14:paraId="7ABE877F" w14:textId="7A6109E5" w:rsidR="00140044" w:rsidRDefault="00140044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</w:p>
    <w:p w14:paraId="77C592A5" w14:textId="17CB06F6" w:rsidR="00140044" w:rsidRDefault="00140044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  <w:r>
        <w:rPr>
          <w:rFonts w:asciiTheme="majorHAnsi" w:eastAsia="Times New Roman" w:hAnsiTheme="majorHAnsi" w:cstheme="majorHAnsi"/>
          <w:color w:val="1E1E23"/>
        </w:rPr>
        <w:t>Needed edits:</w:t>
      </w:r>
    </w:p>
    <w:p w14:paraId="701E2A52" w14:textId="77777777" w:rsidR="00140044" w:rsidRPr="00140044" w:rsidRDefault="00140044" w:rsidP="0014004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0044">
        <w:rPr>
          <w:rFonts w:ascii="Calibri" w:eastAsia="Times New Roman" w:hAnsi="Calibri" w:cs="Calibri"/>
          <w:color w:val="FF0000"/>
          <w:sz w:val="22"/>
          <w:szCs w:val="22"/>
        </w:rPr>
        <w:t>On the breast MRI form I would change the part which refers to contrast--I would delete the part of the sentence which states 'for some MRi scans' since we always use it.</w:t>
      </w:r>
    </w:p>
    <w:p w14:paraId="504A8E17" w14:textId="77777777" w:rsidR="00140044" w:rsidRPr="00140044" w:rsidRDefault="00140044" w:rsidP="0014004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0044">
        <w:rPr>
          <w:rFonts w:ascii="Calibri" w:eastAsia="Times New Roman" w:hAnsi="Calibri" w:cs="Calibri"/>
          <w:color w:val="FF0000"/>
          <w:sz w:val="22"/>
          <w:szCs w:val="22"/>
        </w:rPr>
        <w:t> </w:t>
      </w:r>
    </w:p>
    <w:p w14:paraId="5739DD66" w14:textId="77777777" w:rsidR="00140044" w:rsidRPr="00140044" w:rsidRDefault="00140044" w:rsidP="0014004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0044">
        <w:rPr>
          <w:rFonts w:ascii="Calibri" w:eastAsia="Times New Roman" w:hAnsi="Calibri" w:cs="Calibri"/>
          <w:color w:val="FF0000"/>
          <w:sz w:val="22"/>
          <w:szCs w:val="22"/>
        </w:rPr>
        <w:t>The part that mentions high risk. Could we slip in somewhere that it's considered at 20% or greater lifetime risk? Doesn't have to be in there and the link is good. </w:t>
      </w:r>
    </w:p>
    <w:p w14:paraId="61EF721C" w14:textId="77777777" w:rsidR="00140044" w:rsidRPr="00140044" w:rsidRDefault="00140044" w:rsidP="0014004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0044">
        <w:rPr>
          <w:rFonts w:ascii="Calibri" w:eastAsia="Times New Roman" w:hAnsi="Calibri" w:cs="Calibri"/>
          <w:color w:val="FF0000"/>
          <w:sz w:val="22"/>
          <w:szCs w:val="22"/>
        </w:rPr>
        <w:t> </w:t>
      </w:r>
    </w:p>
    <w:p w14:paraId="39F99721" w14:textId="77777777" w:rsidR="00140044" w:rsidRPr="00140044" w:rsidRDefault="00140044" w:rsidP="0014004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0044">
        <w:rPr>
          <w:rFonts w:ascii="Calibri" w:eastAsia="Times New Roman" w:hAnsi="Calibri" w:cs="Calibri"/>
          <w:color w:val="FF0000"/>
          <w:sz w:val="22"/>
          <w:szCs w:val="22"/>
        </w:rPr>
        <w:t xml:space="preserve">On the mammo page I think it overall is very good. I might reword the part that talks about how mammo can be slightly uncomfortable as I think that's sort of baked into a patient's expectations. I would keep the last sentence after dropping the </w:t>
      </w:r>
      <w:proofErr w:type="gramStart"/>
      <w:r w:rsidRPr="00140044">
        <w:rPr>
          <w:rFonts w:ascii="Calibri" w:eastAsia="Times New Roman" w:hAnsi="Calibri" w:cs="Calibri"/>
          <w:color w:val="FF0000"/>
          <w:sz w:val="22"/>
          <w:szCs w:val="22"/>
        </w:rPr>
        <w:t>word</w:t>
      </w:r>
      <w:proofErr w:type="gramEnd"/>
      <w:r w:rsidRPr="00140044">
        <w:rPr>
          <w:rFonts w:ascii="Calibri" w:eastAsia="Times New Roman" w:hAnsi="Calibri" w:cs="Calibri"/>
          <w:color w:val="FF0000"/>
          <w:sz w:val="22"/>
          <w:szCs w:val="22"/>
        </w:rPr>
        <w:t xml:space="preserve"> however. Might need a little different wording as well.</w:t>
      </w:r>
    </w:p>
    <w:p w14:paraId="62D6BEB1" w14:textId="77777777" w:rsidR="00140044" w:rsidRPr="0065748A" w:rsidRDefault="00140044" w:rsidP="0065748A">
      <w:pPr>
        <w:spacing w:after="450" w:line="360" w:lineRule="atLeast"/>
        <w:rPr>
          <w:rFonts w:asciiTheme="majorHAnsi" w:eastAsia="Times New Roman" w:hAnsiTheme="majorHAnsi" w:cstheme="majorHAnsi"/>
          <w:color w:val="1E1E23"/>
        </w:rPr>
      </w:pPr>
    </w:p>
    <w:p w14:paraId="266207EE" w14:textId="77777777" w:rsidR="00E87FD5" w:rsidRDefault="00140044"/>
    <w:sectPr w:rsidR="00E8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4F3"/>
    <w:multiLevelType w:val="multilevel"/>
    <w:tmpl w:val="152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26B6A"/>
    <w:multiLevelType w:val="multilevel"/>
    <w:tmpl w:val="152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611850">
    <w:abstractNumId w:val="1"/>
  </w:num>
  <w:num w:numId="2" w16cid:durableId="180279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8A"/>
    <w:rsid w:val="00140044"/>
    <w:rsid w:val="0065748A"/>
    <w:rsid w:val="00835B0B"/>
    <w:rsid w:val="008850B4"/>
    <w:rsid w:val="00D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8E62"/>
  <w15:chartTrackingRefBased/>
  <w15:docId w15:val="{B8758AEF-470B-D644-9DFD-F15BCAA9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748A"/>
  </w:style>
  <w:style w:type="character" w:styleId="Strong">
    <w:name w:val="Strong"/>
    <w:basedOn w:val="DefaultParagraphFont"/>
    <w:uiPriority w:val="22"/>
    <w:qFormat/>
    <w:rsid w:val="0065748A"/>
    <w:rPr>
      <w:b/>
      <w:bCs/>
    </w:rPr>
  </w:style>
  <w:style w:type="character" w:styleId="Hyperlink">
    <w:name w:val="Hyperlink"/>
    <w:basedOn w:val="DefaultParagraphFont"/>
    <w:uiPriority w:val="99"/>
    <w:unhideWhenUsed/>
    <w:rsid w:val="006574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74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cancer/breast-cancer/about/types-of-breast-cancer/dc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cer.org/cancer/breast-cancer/risk-and-prevention/genetic-testing.html" TargetMode="External"/><Relationship Id="rId12" Type="http://schemas.openxmlformats.org/officeDocument/2006/relationships/hyperlink" Target="https://www.cancer.org/cancer/breast-cancer/screening-tests-and-early-detection/american-cancer-society-recommendations-for-the-early-detection-of-breast-canc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.org/cancer/breast-cancer/risk-and-prevention/breast-cancer-risk-factors-you-cannot-change.html" TargetMode="External"/><Relationship Id="rId11" Type="http://schemas.openxmlformats.org/officeDocument/2006/relationships/hyperlink" Target="https://www.cancer.org/cancer/breast-cancer/screening-tests-and-early-detection/mammograms/breast-density-and-your-mammogram-report.html" TargetMode="External"/><Relationship Id="rId5" Type="http://schemas.openxmlformats.org/officeDocument/2006/relationships/hyperlink" Target="https://www.cancer.org/cancer/breast-cancer/screening-tests-and-early-detection/breast-mri-scans.html" TargetMode="External"/><Relationship Id="rId10" Type="http://schemas.openxmlformats.org/officeDocument/2006/relationships/hyperlink" Target="https://www.cancer.org/cancer/breast-cancer/non-cancerous-breast-conditions/hyperplasia-of-the-breast-ductal-or-lobul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er.org/cancer/breast-cancer/non-cancerous-breast-conditions/lobular-carcinoma-in-sit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Lockhart</dc:creator>
  <cp:keywords/>
  <dc:description/>
  <cp:lastModifiedBy>Rebekah Lockhart</cp:lastModifiedBy>
  <cp:revision>3</cp:revision>
  <dcterms:created xsi:type="dcterms:W3CDTF">2022-03-24T14:54:00Z</dcterms:created>
  <dcterms:modified xsi:type="dcterms:W3CDTF">2022-06-09T21:56:00Z</dcterms:modified>
</cp:coreProperties>
</file>